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370" w:rsidRDefault="00CD3370">
      <w:pPr>
        <w:pStyle w:val="Title"/>
        <w:spacing w:after="0"/>
      </w:pPr>
    </w:p>
    <w:p w:rsidR="00CD3370" w:rsidRDefault="00CD3370">
      <w:pPr>
        <w:pStyle w:val="Title"/>
        <w:spacing w:after="0"/>
      </w:pPr>
    </w:p>
    <w:p w:rsidR="00CD3370" w:rsidRDefault="00082387">
      <w:pPr>
        <w:pStyle w:val="Title"/>
        <w:spacing w:after="0"/>
        <w:rPr>
          <w:rFonts w:ascii="Arial" w:hAnsi="Arial" w:cs="Arial"/>
          <w:color w:val="333333"/>
          <w:sz w:val="18"/>
          <w:szCs w:val="18"/>
        </w:rPr>
      </w:pPr>
      <w:r>
        <w:rPr>
          <w:rFonts w:ascii="Arial" w:hAnsi="Arial" w:cs="Arial"/>
          <w:noProof/>
          <w:color w:val="FFFFFF"/>
          <w:sz w:val="18"/>
          <w:szCs w:val="18"/>
        </w:rPr>
        <w:drawing>
          <wp:inline distT="0" distB="0" distL="0" distR="0">
            <wp:extent cx="1162050" cy="419100"/>
            <wp:effectExtent l="19050" t="0" r="0" b="0"/>
            <wp:docPr id="1" name="ctl00_Header1_logo_imgSiteLogo" descr="Decher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Header1_logo_imgSiteLogo" descr="Dechert">
                      <a:hlinkClick r:id="rId8"/>
                    </pic:cNvPr>
                    <pic:cNvPicPr>
                      <a:picLocks noChangeAspect="1" noChangeArrowheads="1"/>
                    </pic:cNvPicPr>
                  </pic:nvPicPr>
                  <pic:blipFill>
                    <a:blip r:embed="rId9" cstate="print"/>
                    <a:srcRect/>
                    <a:stretch>
                      <a:fillRect/>
                    </a:stretch>
                  </pic:blipFill>
                  <pic:spPr bwMode="auto">
                    <a:xfrm>
                      <a:off x="0" y="0"/>
                      <a:ext cx="1162050" cy="419100"/>
                    </a:xfrm>
                    <a:prstGeom prst="rect">
                      <a:avLst/>
                    </a:prstGeom>
                    <a:noFill/>
                    <a:ln w="9525">
                      <a:noFill/>
                      <a:miter lim="800000"/>
                      <a:headEnd/>
                      <a:tailEnd/>
                    </a:ln>
                  </pic:spPr>
                </pic:pic>
              </a:graphicData>
            </a:graphic>
          </wp:inline>
        </w:drawing>
      </w:r>
    </w:p>
    <w:p w:rsidR="00CD3370" w:rsidRPr="00CD3370" w:rsidRDefault="00CD3370">
      <w:pPr>
        <w:pStyle w:val="Title"/>
        <w:spacing w:after="0"/>
        <w:rPr>
          <w:rFonts w:ascii="Arial" w:hAnsi="Arial" w:cs="Arial"/>
          <w:caps w:val="0"/>
          <w:color w:val="333333"/>
          <w:sz w:val="18"/>
          <w:szCs w:val="18"/>
          <w:u w:val="none"/>
        </w:rPr>
      </w:pPr>
      <w:r w:rsidRPr="00CD3370">
        <w:rPr>
          <w:rFonts w:ascii="Arial" w:hAnsi="Arial" w:cs="Arial"/>
          <w:caps w:val="0"/>
          <w:color w:val="333333"/>
          <w:sz w:val="18"/>
          <w:szCs w:val="18"/>
          <w:u w:val="none"/>
        </w:rPr>
        <w:t>1095 Avenue of the Americas</w:t>
      </w:r>
    </w:p>
    <w:p w:rsidR="00CD3370" w:rsidRPr="00CD3370" w:rsidRDefault="00CD3370">
      <w:pPr>
        <w:pStyle w:val="Title"/>
        <w:spacing w:after="0"/>
        <w:rPr>
          <w:caps w:val="0"/>
          <w:u w:val="none"/>
        </w:rPr>
      </w:pPr>
      <w:r w:rsidRPr="00CD3370">
        <w:rPr>
          <w:rFonts w:ascii="Arial" w:hAnsi="Arial" w:cs="Arial"/>
          <w:caps w:val="0"/>
          <w:color w:val="333333"/>
          <w:sz w:val="18"/>
          <w:szCs w:val="18"/>
          <w:u w:val="none"/>
        </w:rPr>
        <w:t>New York, New York 10036 USA</w:t>
      </w:r>
    </w:p>
    <w:p w:rsidR="00CD3370" w:rsidRDefault="00CD3370">
      <w:pPr>
        <w:pStyle w:val="Title"/>
        <w:spacing w:after="0"/>
      </w:pPr>
    </w:p>
    <w:p w:rsidR="00CD3370" w:rsidRDefault="00CD3370">
      <w:pPr>
        <w:pStyle w:val="Title"/>
        <w:spacing w:after="0"/>
      </w:pPr>
    </w:p>
    <w:p w:rsidR="00CD3370" w:rsidRDefault="00CD3370">
      <w:pPr>
        <w:pStyle w:val="Title"/>
        <w:spacing w:after="0"/>
      </w:pPr>
    </w:p>
    <w:p w:rsidR="00CD3370" w:rsidRDefault="00CD3370">
      <w:pPr>
        <w:pStyle w:val="Title"/>
        <w:spacing w:after="0"/>
      </w:pPr>
    </w:p>
    <w:p w:rsidR="00CD3370" w:rsidRDefault="00CD3370">
      <w:pPr>
        <w:pStyle w:val="Title"/>
        <w:spacing w:after="0"/>
      </w:pPr>
    </w:p>
    <w:p w:rsidR="002B44E7" w:rsidRPr="00CD3370" w:rsidRDefault="002B44E7">
      <w:pPr>
        <w:pStyle w:val="Title"/>
        <w:spacing w:after="0"/>
        <w:rPr>
          <w:sz w:val="32"/>
          <w:szCs w:val="32"/>
          <w:u w:val="none"/>
        </w:rPr>
      </w:pPr>
      <w:r w:rsidRPr="00CD3370">
        <w:rPr>
          <w:sz w:val="32"/>
          <w:szCs w:val="32"/>
          <w:u w:val="none"/>
        </w:rPr>
        <w:t>CORPORATE Strategic Investors</w:t>
      </w:r>
    </w:p>
    <w:p w:rsidR="002B44E7" w:rsidRDefault="002B44E7">
      <w:pPr>
        <w:pStyle w:val="Title"/>
        <w:spacing w:after="0"/>
        <w:rPr>
          <w:b w:val="0"/>
          <w:u w:val="none"/>
        </w:rPr>
      </w:pPr>
    </w:p>
    <w:p w:rsidR="002B44E7" w:rsidRDefault="00CD3370">
      <w:pPr>
        <w:pStyle w:val="Title"/>
        <w:spacing w:after="0"/>
        <w:rPr>
          <w:b w:val="0"/>
          <w:u w:val="none"/>
        </w:rPr>
      </w:pPr>
      <w:r>
        <w:rPr>
          <w:b w:val="0"/>
          <w:caps w:val="0"/>
          <w:u w:val="none"/>
        </w:rPr>
        <w:t>By</w:t>
      </w:r>
      <w:r w:rsidR="002B44E7">
        <w:rPr>
          <w:b w:val="0"/>
          <w:caps w:val="0"/>
          <w:u w:val="none"/>
        </w:rPr>
        <w:t xml:space="preserve"> Kristopher Brown</w:t>
      </w:r>
      <w:r>
        <w:rPr>
          <w:b w:val="0"/>
          <w:caps w:val="0"/>
          <w:u w:val="none"/>
        </w:rPr>
        <w:t>*</w:t>
      </w:r>
    </w:p>
    <w:p w:rsidR="002B44E7" w:rsidRDefault="002B44E7">
      <w:pPr>
        <w:pStyle w:val="BodyText"/>
        <w:spacing w:after="0"/>
        <w:jc w:val="center"/>
      </w:pPr>
    </w:p>
    <w:p w:rsidR="002B44E7" w:rsidRDefault="00F35190">
      <w:pPr>
        <w:pStyle w:val="BodyText"/>
      </w:pPr>
      <w:r>
        <w:t>Increasingly,</w:t>
      </w:r>
      <w:r w:rsidR="002B44E7">
        <w:t xml:space="preserve"> corporations </w:t>
      </w:r>
      <w:r>
        <w:t xml:space="preserve">are supplementing their own internal research and development </w:t>
      </w:r>
      <w:r w:rsidR="00BB5D09">
        <w:t xml:space="preserve">and business development </w:t>
      </w:r>
      <w:r>
        <w:t>efforts by participating</w:t>
      </w:r>
      <w:r w:rsidR="002B44E7">
        <w:t xml:space="preserve"> in the equity funding of start-up and early stage companies </w:t>
      </w:r>
      <w:r w:rsidR="00ED6705">
        <w:t xml:space="preserve">which may </w:t>
      </w:r>
      <w:r w:rsidR="00BB5D09">
        <w:t xml:space="preserve">over time </w:t>
      </w:r>
      <w:r w:rsidR="00ED6705">
        <w:t xml:space="preserve">be able to provide the corporation’s business with </w:t>
      </w:r>
      <w:r w:rsidR="002B44E7">
        <w:t>potential strategic</w:t>
      </w:r>
      <w:r>
        <w:t xml:space="preserve"> and </w:t>
      </w:r>
      <w:r w:rsidR="00ED6705">
        <w:t xml:space="preserve">sometimes </w:t>
      </w:r>
      <w:r>
        <w:t>even</w:t>
      </w:r>
      <w:r w:rsidR="002B44E7">
        <w:t xml:space="preserve"> </w:t>
      </w:r>
      <w:r>
        <w:t xml:space="preserve">financial </w:t>
      </w:r>
      <w:r w:rsidR="002B44E7">
        <w:t xml:space="preserve">gain.  </w:t>
      </w:r>
      <w:r>
        <w:t>I</w:t>
      </w:r>
      <w:r w:rsidR="002B44E7">
        <w:t>n order to effectively and efficiently deliver practical legal and business advice to the investment professional</w:t>
      </w:r>
      <w:r w:rsidR="00ED6705">
        <w:t>s within a corporate strategic investor</w:t>
      </w:r>
      <w:r>
        <w:t xml:space="preserve">, in house counsel </w:t>
      </w:r>
      <w:r w:rsidR="00ED6705">
        <w:t xml:space="preserve">advising </w:t>
      </w:r>
      <w:r w:rsidR="00BB5D09">
        <w:t>on these matters</w:t>
      </w:r>
      <w:r w:rsidR="00ED6705">
        <w:t xml:space="preserve"> </w:t>
      </w:r>
      <w:r>
        <w:t xml:space="preserve">must </w:t>
      </w:r>
      <w:r w:rsidR="00BB5D09">
        <w:t xml:space="preserve">be sure to </w:t>
      </w:r>
      <w:r>
        <w:t xml:space="preserve">consider a variety of issues unique to these types of </w:t>
      </w:r>
      <w:r w:rsidR="00ED6705">
        <w:t>transactions</w:t>
      </w:r>
      <w:r w:rsidR="002B44E7">
        <w:t xml:space="preserve">.  </w:t>
      </w:r>
    </w:p>
    <w:p w:rsidR="002B44E7" w:rsidRDefault="00BB5D09">
      <w:pPr>
        <w:pStyle w:val="BodyText"/>
      </w:pPr>
      <w:r>
        <w:t xml:space="preserve">In contrast to the limited involvement an in house lawyer may have when working with a </w:t>
      </w:r>
      <w:r w:rsidR="00F35190">
        <w:t xml:space="preserve">traditional </w:t>
      </w:r>
      <w:r w:rsidR="002B44E7">
        <w:t>investor in</w:t>
      </w:r>
      <w:r w:rsidR="00F35190">
        <w:t>volved in</w:t>
      </w:r>
      <w:r w:rsidR="002B44E7">
        <w:t xml:space="preserve"> </w:t>
      </w:r>
      <w:r>
        <w:t>what generally is a one-off</w:t>
      </w:r>
      <w:r w:rsidR="00ED6705">
        <w:t xml:space="preserve"> purely finance-driven</w:t>
      </w:r>
      <w:r w:rsidR="002B44E7">
        <w:t xml:space="preserve"> venture capital </w:t>
      </w:r>
      <w:r w:rsidR="00ED6705">
        <w:t>investm</w:t>
      </w:r>
      <w:r>
        <w:t>ent decision</w:t>
      </w:r>
      <w:r w:rsidR="002B44E7">
        <w:t xml:space="preserve">, </w:t>
      </w:r>
      <w:r w:rsidR="00F35190">
        <w:t xml:space="preserve">in house counsel and </w:t>
      </w:r>
      <w:r w:rsidR="00ED6705">
        <w:t>their investment professional colleagues</w:t>
      </w:r>
      <w:r w:rsidR="002B44E7">
        <w:t xml:space="preserve"> </w:t>
      </w:r>
      <w:r>
        <w:t>within</w:t>
      </w:r>
      <w:r w:rsidR="002B44E7">
        <w:t xml:space="preserve"> corporate strategic investors </w:t>
      </w:r>
      <w:r w:rsidR="00F35190">
        <w:t>often must provide ongoing legal and business guidance</w:t>
      </w:r>
      <w:r w:rsidR="002B44E7">
        <w:t xml:space="preserve"> and support throughout the life cycle of </w:t>
      </w:r>
      <w:r w:rsidR="00F35190">
        <w:t>a strategic</w:t>
      </w:r>
      <w:r w:rsidR="002B44E7">
        <w:t xml:space="preserve"> portfolio compan</w:t>
      </w:r>
      <w:r w:rsidR="00ED6705">
        <w:t>y</w:t>
      </w:r>
      <w:r w:rsidR="002B44E7">
        <w:t xml:space="preserve">.  </w:t>
      </w:r>
      <w:r>
        <w:t>I</w:t>
      </w:r>
      <w:r w:rsidR="00ED6705">
        <w:t>n house counsel</w:t>
      </w:r>
      <w:r w:rsidR="002B44E7">
        <w:t xml:space="preserve"> </w:t>
      </w:r>
      <w:r>
        <w:t>advising</w:t>
      </w:r>
      <w:r w:rsidR="00ED6705">
        <w:t xml:space="preserve"> a strategic investor </w:t>
      </w:r>
      <w:r w:rsidR="002B44E7">
        <w:t>must</w:t>
      </w:r>
      <w:r w:rsidR="00ED6705">
        <w:t xml:space="preserve"> </w:t>
      </w:r>
      <w:r w:rsidR="002B44E7">
        <w:t xml:space="preserve">be prepared to provide legal services at all stages of the </w:t>
      </w:r>
      <w:r w:rsidR="00F35190">
        <w:t>relationship</w:t>
      </w:r>
      <w:r w:rsidR="002B44E7">
        <w:t xml:space="preserve">, from assisting in the seed funding of small start-ups to </w:t>
      </w:r>
      <w:r w:rsidR="00F35190">
        <w:t xml:space="preserve">advising on strategic collaborations or partnerships, to </w:t>
      </w:r>
      <w:r w:rsidR="002B44E7">
        <w:t xml:space="preserve">overseeing exit strategies as portfolio companies are acquired or undertake initial public offerings.  </w:t>
      </w:r>
      <w:r>
        <w:t>In addition, s</w:t>
      </w:r>
      <w:r w:rsidR="00F35190">
        <w:t>trategic</w:t>
      </w:r>
      <w:r w:rsidR="002B44E7">
        <w:t xml:space="preserve"> portfolio companies often require advising on expansion capital rounds and structuring </w:t>
      </w:r>
      <w:r w:rsidR="00F35190">
        <w:t xml:space="preserve">complex business arrangements and </w:t>
      </w:r>
      <w:r w:rsidR="002B44E7">
        <w:t xml:space="preserve">milestone dependent </w:t>
      </w:r>
      <w:r w:rsidR="00F35190">
        <w:t xml:space="preserve">future </w:t>
      </w:r>
      <w:r w:rsidR="002B44E7">
        <w:t xml:space="preserve">equity </w:t>
      </w:r>
      <w:r w:rsidR="00F35190">
        <w:t xml:space="preserve">or debt infusions </w:t>
      </w:r>
      <w:r w:rsidR="002B44E7">
        <w:t xml:space="preserve">that may accompany strategic </w:t>
      </w:r>
      <w:r w:rsidR="00F35190">
        <w:t>relationships</w:t>
      </w:r>
      <w:r>
        <w:t>, often</w:t>
      </w:r>
      <w:r w:rsidR="002B44E7">
        <w:t xml:space="preserve"> with affiliates of the strategic investor </w:t>
      </w:r>
      <w:r>
        <w:t>itself</w:t>
      </w:r>
      <w:r w:rsidR="002B44E7">
        <w:t xml:space="preserve">.  First-hand knowledge of today’s business and legal market is crucial at each of these steps, as </w:t>
      </w:r>
      <w:r>
        <w:t>can be</w:t>
      </w:r>
      <w:r w:rsidR="002B44E7">
        <w:t xml:space="preserve"> working relationships with traditional venture capital firms and third party financing sources, such as venture lenders, focused on the industry</w:t>
      </w:r>
      <w:r w:rsidR="00F35190">
        <w:t xml:space="preserve"> who also may be involved in these transactions</w:t>
      </w:r>
      <w:r w:rsidR="002B44E7">
        <w:t xml:space="preserve">.  </w:t>
      </w:r>
    </w:p>
    <w:p w:rsidR="002B44E7" w:rsidRDefault="002B44E7">
      <w:pPr>
        <w:pStyle w:val="BodyText"/>
      </w:pPr>
      <w:r>
        <w:t>The strategic nature of many corporate equity investments often</w:t>
      </w:r>
      <w:r w:rsidR="00BB5D09">
        <w:t xml:space="preserve"> also</w:t>
      </w:r>
      <w:r>
        <w:t xml:space="preserve"> require increased </w:t>
      </w:r>
      <w:r w:rsidR="00F35190">
        <w:t>scrutiny and analysis by</w:t>
      </w:r>
      <w:r w:rsidR="006E285B">
        <w:t xml:space="preserve"> in </w:t>
      </w:r>
      <w:r>
        <w:t xml:space="preserve">house lawyers </w:t>
      </w:r>
      <w:r w:rsidR="00F35190">
        <w:t>of</w:t>
      </w:r>
      <w:r>
        <w:t xml:space="preserve"> ancillary legal issues</w:t>
      </w:r>
      <w:r w:rsidR="00F35190">
        <w:t xml:space="preserve"> that can accompany the strategic relationship</w:t>
      </w:r>
      <w:r>
        <w:t xml:space="preserve">, including intellectual property review, tax structuring, analysis of licensing arrangements, structuring employment and equity compensation matters, navigating complex </w:t>
      </w:r>
      <w:r w:rsidR="007A056A">
        <w:t>regulatory</w:t>
      </w:r>
      <w:r>
        <w:t xml:space="preserve"> environments, overseeing and </w:t>
      </w:r>
      <w:r>
        <w:lastRenderedPageBreak/>
        <w:t xml:space="preserve">understanding potential litigation, and </w:t>
      </w:r>
      <w:r w:rsidR="00F35190">
        <w:t>sometimes even</w:t>
      </w:r>
      <w:r>
        <w:t xml:space="preserve"> structuring around or advising on bankruptcy-related issues when a portfolio company </w:t>
      </w:r>
      <w:r w:rsidR="00F35190">
        <w:t>finds itself</w:t>
      </w:r>
      <w:r>
        <w:t xml:space="preserve"> in distress.  </w:t>
      </w:r>
    </w:p>
    <w:p w:rsidR="002B44E7" w:rsidRDefault="00BB5D09">
      <w:pPr>
        <w:pStyle w:val="BodyText"/>
      </w:pPr>
      <w:r>
        <w:t>C</w:t>
      </w:r>
      <w:r w:rsidR="002B44E7">
        <w:t xml:space="preserve">orporate equity investors face a number of investment considerations unique from those of more traditional financial investors, such as venture capital firms.  For example, the decision of whether or not a corporate investor should have a board seat on a private company it has invested in but may also have a strategic interest in is a question that needs to be carefully </w:t>
      </w:r>
      <w:r w:rsidR="00F35190">
        <w:t>considered</w:t>
      </w:r>
      <w:r w:rsidR="002B44E7">
        <w:t>.  In such cases, in</w:t>
      </w:r>
      <w:r w:rsidR="006E285B">
        <w:t xml:space="preserve"> </w:t>
      </w:r>
      <w:r w:rsidR="002B44E7">
        <w:t xml:space="preserve">house lawyers </w:t>
      </w:r>
      <w:r>
        <w:t>may be asked to</w:t>
      </w:r>
      <w:r w:rsidR="002B44E7">
        <w:t xml:space="preserve"> </w:t>
      </w:r>
      <w:r w:rsidR="00F35190">
        <w:t>help implement</w:t>
      </w:r>
      <w:r w:rsidR="002B44E7">
        <w:t xml:space="preserve"> internal structures that </w:t>
      </w:r>
      <w:r>
        <w:t>will</w:t>
      </w:r>
      <w:r w:rsidR="002B44E7">
        <w:t xml:space="preserve"> shiel</w:t>
      </w:r>
      <w:r>
        <w:t>d their investment professional colleagues</w:t>
      </w:r>
      <w:r w:rsidR="002B44E7">
        <w:t xml:space="preserve"> who could be assuming certain fiduciary roles at their </w:t>
      </w:r>
      <w:r>
        <w:t xml:space="preserve">portfolio companies, from their </w:t>
      </w:r>
      <w:r w:rsidR="002B44E7">
        <w:t xml:space="preserve">separate business colleagues who may potentially be engaging in ancillary activities </w:t>
      </w:r>
      <w:r>
        <w:t>as part of the corporation’s over all strategy that are competitive to the</w:t>
      </w:r>
      <w:r w:rsidR="002B44E7">
        <w:t xml:space="preserve"> portfolio company.  </w:t>
      </w:r>
      <w:r w:rsidR="00F35190">
        <w:t xml:space="preserve">In house lawyers working on these types of </w:t>
      </w:r>
      <w:r>
        <w:t>transactions</w:t>
      </w:r>
      <w:r w:rsidR="002B44E7">
        <w:t xml:space="preserve"> must also be aware of the ability </w:t>
      </w:r>
      <w:r w:rsidR="00F35190">
        <w:t>for their investment professional colleagues</w:t>
      </w:r>
      <w:r w:rsidR="002B44E7">
        <w:t xml:space="preserve"> </w:t>
      </w:r>
      <w:r w:rsidR="00F35190">
        <w:t xml:space="preserve">to </w:t>
      </w:r>
      <w:r w:rsidR="002B44E7">
        <w:t xml:space="preserve">opt for a non-voting board observer seat type role and to consider how such a </w:t>
      </w:r>
      <w:r>
        <w:t>position</w:t>
      </w:r>
      <w:r w:rsidR="002B44E7">
        <w:t xml:space="preserve"> might impact </w:t>
      </w:r>
      <w:r w:rsidR="00F35190">
        <w:t>the corporate strategic investor’s</w:t>
      </w:r>
      <w:r w:rsidR="002B44E7">
        <w:t xml:space="preserve"> ability to monitor </w:t>
      </w:r>
      <w:r w:rsidR="00F35190">
        <w:t xml:space="preserve">its portfolio company relationship, </w:t>
      </w:r>
      <w:r w:rsidR="002B44E7">
        <w:t xml:space="preserve">from </w:t>
      </w:r>
      <w:r>
        <w:t>each of</w:t>
      </w:r>
      <w:r w:rsidR="002B44E7">
        <w:t xml:space="preserve"> a financial and strategic perspective.</w:t>
      </w:r>
    </w:p>
    <w:p w:rsidR="002B44E7" w:rsidRDefault="002B44E7">
      <w:pPr>
        <w:pStyle w:val="BodyText"/>
      </w:pPr>
      <w:r>
        <w:t xml:space="preserve">Similarly, </w:t>
      </w:r>
      <w:r w:rsidR="006E285B">
        <w:t>large</w:t>
      </w:r>
      <w:r>
        <w:t xml:space="preserve"> corporate investors </w:t>
      </w:r>
      <w:r w:rsidR="00F35190">
        <w:t>must structure their investments to be</w:t>
      </w:r>
      <w:r>
        <w:t xml:space="preserve"> sure that certain standard provisions in investment documents are properly </w:t>
      </w:r>
      <w:r w:rsidR="00F35190">
        <w:t>tailored</w:t>
      </w:r>
      <w:r>
        <w:t xml:space="preserve"> to protect </w:t>
      </w:r>
      <w:r w:rsidR="00F35190">
        <w:t>the corporation</w:t>
      </w:r>
      <w:r>
        <w:t xml:space="preserve"> </w:t>
      </w:r>
      <w:r w:rsidR="00F35190">
        <w:t xml:space="preserve">from </w:t>
      </w:r>
      <w:r w:rsidR="006E285B">
        <w:t>reputational and financial</w:t>
      </w:r>
      <w:r w:rsidR="00F35190">
        <w:t xml:space="preserve"> liability.  For example</w:t>
      </w:r>
      <w:r>
        <w:t xml:space="preserve">, it is </w:t>
      </w:r>
      <w:r w:rsidR="00BB5D09">
        <w:t>critical</w:t>
      </w:r>
      <w:r>
        <w:t xml:space="preserve"> to focus carefully on publicity and confidentiality provisions, to insure that a portfolio company does not use the corporate investor’s involvement to improperly promote its business or financing prospects </w:t>
      </w:r>
      <w:r w:rsidR="00F35190">
        <w:t>in a manner that</w:t>
      </w:r>
      <w:r>
        <w:t xml:space="preserve"> might lead to a shareholder suit or similar litigation</w:t>
      </w:r>
      <w:r w:rsidR="00F35190">
        <w:t xml:space="preserve"> if the business does not perform as promised</w:t>
      </w:r>
      <w:r>
        <w:t>.</w:t>
      </w:r>
      <w:r w:rsidR="00BB5D09">
        <w:t xml:space="preserve">  While the corporate investor is unlikely to be directly drawn into any such litigation, it presumably will not want its own reputation tarnished through its affiliation with </w:t>
      </w:r>
      <w:r w:rsidR="006E285B">
        <w:t>a</w:t>
      </w:r>
      <w:r w:rsidR="00BB5D09">
        <w:t xml:space="preserve"> portfolio company.</w:t>
      </w:r>
      <w:r>
        <w:t xml:space="preserve">  </w:t>
      </w:r>
    </w:p>
    <w:p w:rsidR="002B44E7" w:rsidRDefault="002B44E7">
      <w:pPr>
        <w:pStyle w:val="BodyText"/>
      </w:pPr>
      <w:r>
        <w:t xml:space="preserve">In addition, it is critical to carefully review </w:t>
      </w:r>
      <w:r w:rsidR="00F35190">
        <w:t xml:space="preserve">technical investment provisions, such as </w:t>
      </w:r>
      <w:r>
        <w:t>so-called “drag-along” provisions to make clear that the strategic investor will not have to represent to any subsequent buyer of the business anything about the business’ operations, or have an indemnity obligation that is uncapped or joint and several with other stockholders who may not have the same financial means</w:t>
      </w:r>
      <w:r w:rsidR="00F35190">
        <w:t xml:space="preserve"> as the strategic investor</w:t>
      </w:r>
      <w:r>
        <w:t>.</w:t>
      </w:r>
    </w:p>
    <w:p w:rsidR="002B44E7" w:rsidRDefault="002B44E7">
      <w:pPr>
        <w:pStyle w:val="BodyText"/>
      </w:pPr>
      <w:r>
        <w:t xml:space="preserve">For corporate strategic investors, it </w:t>
      </w:r>
      <w:r w:rsidR="00F35190">
        <w:t>often will be</w:t>
      </w:r>
      <w:r>
        <w:t xml:space="preserve"> necessary for in</w:t>
      </w:r>
      <w:r w:rsidR="00F35190">
        <w:t xml:space="preserve"> </w:t>
      </w:r>
      <w:r>
        <w:t>house counsel to implement unique investment provisions</w:t>
      </w:r>
      <w:r w:rsidR="00F35190">
        <w:t>.  Consider, for example, covenants that might need to be added to</w:t>
      </w:r>
      <w:r>
        <w:t xml:space="preserve"> permit the strategic investor </w:t>
      </w:r>
      <w:r w:rsidR="00F35190">
        <w:t>which</w:t>
      </w:r>
      <w:r>
        <w:t xml:space="preserve"> is itself a corporation, unlike the partnership form generally used by more traditional venture capital funds, from having to consolidate </w:t>
      </w:r>
      <w:r w:rsidR="00F35190">
        <w:t xml:space="preserve">its financial statements </w:t>
      </w:r>
      <w:r>
        <w:t xml:space="preserve">from an </w:t>
      </w:r>
      <w:r w:rsidR="00F35190">
        <w:t xml:space="preserve">accounting perspective with those of </w:t>
      </w:r>
      <w:r>
        <w:t>its new</w:t>
      </w:r>
      <w:r w:rsidR="00F35190">
        <w:t xml:space="preserve"> portfolio company</w:t>
      </w:r>
      <w:r>
        <w:t>.</w:t>
      </w:r>
    </w:p>
    <w:p w:rsidR="002B44E7" w:rsidRDefault="00F35190">
      <w:pPr>
        <w:pStyle w:val="BodyText"/>
      </w:pPr>
      <w:r>
        <w:t xml:space="preserve">In house counsel to </w:t>
      </w:r>
      <w:r w:rsidR="002B44E7">
        <w:t>corporate strategic investor</w:t>
      </w:r>
      <w:r>
        <w:t xml:space="preserve">s often are asked </w:t>
      </w:r>
      <w:r w:rsidR="002B44E7">
        <w:t xml:space="preserve">to assist in preparing and putting in place investment approval processes, forms of confidentiality agreements that do not “taint” </w:t>
      </w:r>
      <w:r>
        <w:t>investment professionals or other business</w:t>
      </w:r>
      <w:r w:rsidR="002B44E7">
        <w:t xml:space="preserve"> personnel who may be working within the investor’s greater business in areas competitive to a possible portfolio company, forms of equity investment and bridge loan documents, and guidelines for how to handle a distressed portfolio company that may be facing </w:t>
      </w:r>
      <w:r w:rsidR="002B44E7">
        <w:lastRenderedPageBreak/>
        <w:t xml:space="preserve">bankruptcy or litigation.  Working to standardize these processes and agreements facilitates and simplifies additional investments and the monitoring of existing portfolio companies.  </w:t>
      </w:r>
    </w:p>
    <w:p w:rsidR="002B44E7" w:rsidRDefault="002B44E7">
      <w:pPr>
        <w:pStyle w:val="BodyText"/>
      </w:pPr>
      <w:r>
        <w:t xml:space="preserve">Equity investments by corporate investors raise </w:t>
      </w:r>
      <w:r w:rsidR="00F35190">
        <w:t xml:space="preserve">unique </w:t>
      </w:r>
      <w:r>
        <w:t xml:space="preserve">issues </w:t>
      </w:r>
      <w:r w:rsidR="00ED6705">
        <w:t xml:space="preserve">for both the corporation and its portfolio companies, </w:t>
      </w:r>
      <w:r>
        <w:t>and in</w:t>
      </w:r>
      <w:r w:rsidR="00ED6705">
        <w:t xml:space="preserve"> house lawyers working on these types of transactions must be </w:t>
      </w:r>
      <w:r>
        <w:t xml:space="preserve">well </w:t>
      </w:r>
      <w:r w:rsidR="00ED6705">
        <w:t>prepared to</w:t>
      </w:r>
      <w:r>
        <w:t xml:space="preserve"> navigate </w:t>
      </w:r>
      <w:r w:rsidR="00ED6705">
        <w:t>and address these issues</w:t>
      </w:r>
      <w:r>
        <w:t xml:space="preserve"> in order </w:t>
      </w:r>
      <w:r w:rsidR="00ED6705">
        <w:t xml:space="preserve">best </w:t>
      </w:r>
      <w:r>
        <w:t xml:space="preserve">to help achieve </w:t>
      </w:r>
      <w:r w:rsidR="00ED6705">
        <w:t>the</w:t>
      </w:r>
      <w:r>
        <w:t xml:space="preserve"> long-term legal and business objectives</w:t>
      </w:r>
      <w:r w:rsidR="00ED6705">
        <w:t xml:space="preserve"> of their company’s business</w:t>
      </w:r>
      <w:r>
        <w:t xml:space="preserve">.  </w:t>
      </w:r>
    </w:p>
    <w:p w:rsidR="002B44E7" w:rsidRDefault="002B44E7">
      <w:pPr>
        <w:pStyle w:val="BodyText"/>
      </w:pPr>
    </w:p>
    <w:p w:rsidR="002B44E7" w:rsidRDefault="002B44E7">
      <w:r>
        <w:t>-------------------------</w:t>
      </w:r>
    </w:p>
    <w:p w:rsidR="002B44E7" w:rsidRDefault="002B44E7">
      <w:pPr>
        <w:rPr>
          <w:szCs w:val="24"/>
        </w:rPr>
      </w:pPr>
    </w:p>
    <w:p w:rsidR="002B44E7" w:rsidRDefault="00CD3370">
      <w:pPr>
        <w:rPr>
          <w:i/>
          <w:szCs w:val="24"/>
        </w:rPr>
      </w:pPr>
      <w:r>
        <w:rPr>
          <w:rFonts w:cs="Arial"/>
          <w:i/>
          <w:szCs w:val="24"/>
        </w:rPr>
        <w:t xml:space="preserve">*  </w:t>
      </w:r>
      <w:r w:rsidR="002B44E7">
        <w:rPr>
          <w:rFonts w:cs="Arial"/>
          <w:i/>
          <w:szCs w:val="24"/>
        </w:rPr>
        <w:t>Kristopher Brown is a partner in the Corporate &amp; Securities Practice Group in the New York City office of Dechert LLP, where he focuses on M&amp;A, private equity a</w:t>
      </w:r>
      <w:r w:rsidR="007A056A">
        <w:rPr>
          <w:rFonts w:cs="Arial"/>
          <w:i/>
          <w:szCs w:val="24"/>
        </w:rPr>
        <w:t>nd venture capital transaction</w:t>
      </w:r>
      <w:r>
        <w:rPr>
          <w:rFonts w:cs="Arial"/>
          <w:i/>
          <w:szCs w:val="24"/>
        </w:rPr>
        <w:t>s</w:t>
      </w:r>
      <w:r w:rsidR="002B44E7">
        <w:rPr>
          <w:rFonts w:cs="Arial"/>
          <w:i/>
          <w:szCs w:val="24"/>
        </w:rPr>
        <w:t>.</w:t>
      </w:r>
    </w:p>
    <w:p w:rsidR="002B44E7" w:rsidRDefault="002B44E7">
      <w:pPr>
        <w:pStyle w:val="BodyText"/>
      </w:pPr>
    </w:p>
    <w:p w:rsidR="002B44E7" w:rsidRDefault="002B44E7"/>
    <w:sectPr w:rsidR="002B44E7" w:rsidSect="00F35190">
      <w:headerReference w:type="default" r:id="rId10"/>
      <w:footerReference w:type="even" r:id="rId11"/>
      <w:footerReference w:type="default" r:id="rId12"/>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AFD" w:rsidRDefault="00064AFD">
      <w:r>
        <w:separator/>
      </w:r>
    </w:p>
  </w:endnote>
  <w:endnote w:type="continuationSeparator" w:id="0">
    <w:p w:rsidR="00064AFD" w:rsidRDefault="00064A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190" w:rsidRDefault="00F35190" w:rsidP="002B44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5190" w:rsidRDefault="00F351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190" w:rsidRDefault="00F35190" w:rsidP="002B44E7">
    <w:pPr>
      <w:pStyle w:val="Footer"/>
      <w:framePr w:wrap="around" w:vAnchor="text" w:hAnchor="margin" w:xAlign="center" w:y="1"/>
      <w:rPr>
        <w:rStyle w:val="PageNumber"/>
      </w:rPr>
    </w:pPr>
  </w:p>
  <w:p w:rsidR="002B44E7" w:rsidRDefault="002B44E7" w:rsidP="00CD3370">
    <w:pPr>
      <w:pStyle w:val="Footer"/>
      <w:spacing w:line="16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AFD" w:rsidRDefault="00064AFD">
      <w:r>
        <w:separator/>
      </w:r>
    </w:p>
  </w:footnote>
  <w:footnote w:type="continuationSeparator" w:id="0">
    <w:p w:rsidR="00064AFD" w:rsidRDefault="00064A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370" w:rsidRDefault="00CD3370">
    <w:pPr>
      <w:pStyle w:val="Header"/>
      <w:jc w:val="center"/>
    </w:pPr>
    <w:fldSimple w:instr=" PAGE   \* MERGEFORMAT ">
      <w:r w:rsidR="00082387">
        <w:rPr>
          <w:noProof/>
        </w:rPr>
        <w:t>2</w:t>
      </w:r>
    </w:fldSimple>
  </w:p>
  <w:p w:rsidR="00CD3370" w:rsidRDefault="00CD33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0F14D604"/>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1"/>
    <w:multiLevelType w:val="singleLevel"/>
    <w:tmpl w:val="C8DAE12C"/>
    <w:lvl w:ilvl="0">
      <w:start w:val="1"/>
      <w:numFmt w:val="bullet"/>
      <w:pStyle w:val="ListBullet4"/>
      <w:lvlText w:val=""/>
      <w:lvlJc w:val="left"/>
      <w:pPr>
        <w:tabs>
          <w:tab w:val="num" w:pos="1440"/>
        </w:tabs>
        <w:ind w:left="1440" w:hanging="360"/>
      </w:pPr>
      <w:rPr>
        <w:rFonts w:ascii="Symbol" w:hAnsi="Symbol" w:hint="default"/>
      </w:rPr>
    </w:lvl>
  </w:abstractNum>
  <w:abstractNum w:abstractNumId="2">
    <w:nsid w:val="FFFFFF82"/>
    <w:multiLevelType w:val="singleLevel"/>
    <w:tmpl w:val="FBCA2BD8"/>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8D4ABFEA"/>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9"/>
    <w:multiLevelType w:val="singleLevel"/>
    <w:tmpl w:val="0CD24C88"/>
    <w:lvl w:ilvl="0">
      <w:start w:val="1"/>
      <w:numFmt w:val="bullet"/>
      <w:pStyle w:val="ListBullet"/>
      <w:lvlText w:val=""/>
      <w:lvlJc w:val="left"/>
      <w:pPr>
        <w:tabs>
          <w:tab w:val="num" w:pos="720"/>
        </w:tabs>
        <w:ind w:left="720" w:hanging="720"/>
      </w:pPr>
      <w:rPr>
        <w:rFonts w:ascii="Symbol" w:hAnsi="Symbol" w:hint="default"/>
      </w:rPr>
    </w:lvl>
  </w:abstractNum>
  <w:abstractNum w:abstractNumId="5">
    <w:nsid w:val="0E312E95"/>
    <w:multiLevelType w:val="multilevel"/>
    <w:tmpl w:val="367464D0"/>
    <w:lvl w:ilvl="0">
      <w:start w:val="1"/>
      <w:numFmt w:val="upperRoman"/>
      <w:pStyle w:val="Heading1"/>
      <w:suff w:val="nothing"/>
      <w:lvlText w:val="%1."/>
      <w:lvlJc w:val="left"/>
      <w:pPr>
        <w:ind w:left="0" w:firstLine="0"/>
      </w:pPr>
      <w:rPr>
        <w:rFonts w:ascii="Times New Roman" w:hAnsi="Times New Roman"/>
      </w:rPr>
    </w:lvl>
    <w:lvl w:ilvl="1">
      <w:start w:val="1"/>
      <w:numFmt w:val="upperLetter"/>
      <w:pStyle w:val="Heading2"/>
      <w:suff w:val="nothing"/>
      <w:lvlText w:val="%2."/>
      <w:lvlJc w:val="left"/>
      <w:pPr>
        <w:ind w:left="0" w:firstLine="720"/>
      </w:pPr>
      <w:rPr>
        <w:rFonts w:ascii="Times New Roman" w:hAnsi="Times New Roman"/>
      </w:rPr>
    </w:lvl>
    <w:lvl w:ilvl="2">
      <w:start w:val="1"/>
      <w:numFmt w:val="decimal"/>
      <w:pStyle w:val="Heading3"/>
      <w:suff w:val="nothing"/>
      <w:lvlText w:val="%3."/>
      <w:lvlJc w:val="left"/>
      <w:pPr>
        <w:ind w:left="0" w:firstLine="1440"/>
      </w:pPr>
      <w:rPr>
        <w:rFonts w:ascii="Times New Roman" w:hAnsi="Times New Roman"/>
      </w:rPr>
    </w:lvl>
    <w:lvl w:ilvl="3">
      <w:start w:val="1"/>
      <w:numFmt w:val="lowerLetter"/>
      <w:pStyle w:val="Heading4"/>
      <w:suff w:val="nothing"/>
      <w:lvlText w:val="%4."/>
      <w:lvlJc w:val="left"/>
      <w:pPr>
        <w:ind w:left="0" w:firstLine="2160"/>
      </w:pPr>
      <w:rPr>
        <w:rFonts w:ascii="Times New Roman" w:hAnsi="Times New Roman"/>
      </w:rPr>
    </w:lvl>
    <w:lvl w:ilvl="4">
      <w:start w:val="1"/>
      <w:numFmt w:val="decimal"/>
      <w:pStyle w:val="Heading5"/>
      <w:suff w:val="nothing"/>
      <w:lvlText w:val="(%5)"/>
      <w:lvlJc w:val="left"/>
      <w:pPr>
        <w:ind w:left="0" w:firstLine="2880"/>
      </w:pPr>
      <w:rPr>
        <w:rFonts w:ascii="Times New Roman" w:hAnsi="Times New Roman"/>
      </w:rPr>
    </w:lvl>
    <w:lvl w:ilvl="5">
      <w:start w:val="1"/>
      <w:numFmt w:val="lowerLetter"/>
      <w:pStyle w:val="Heading6"/>
      <w:suff w:val="nothing"/>
      <w:lvlText w:val="(%6)"/>
      <w:lvlJc w:val="left"/>
      <w:pPr>
        <w:ind w:left="0" w:firstLine="3600"/>
      </w:pPr>
      <w:rPr>
        <w:rFonts w:ascii="Times New Roman" w:hAnsi="Times New Roman"/>
      </w:rPr>
    </w:lvl>
    <w:lvl w:ilvl="6">
      <w:start w:val="1"/>
      <w:numFmt w:val="lowerRoman"/>
      <w:pStyle w:val="Heading7"/>
      <w:suff w:val="nothing"/>
      <w:lvlText w:val="(%7)"/>
      <w:lvlJc w:val="left"/>
      <w:pPr>
        <w:ind w:left="0" w:firstLine="4320"/>
      </w:pPr>
      <w:rPr>
        <w:rFonts w:ascii="Times New Roman" w:hAnsi="Times New Roman"/>
      </w:rPr>
    </w:lvl>
    <w:lvl w:ilvl="7">
      <w:start w:val="1"/>
      <w:numFmt w:val="lowerLetter"/>
      <w:pStyle w:val="Heading8"/>
      <w:suff w:val="nothing"/>
      <w:lvlText w:val="(%8)"/>
      <w:lvlJc w:val="left"/>
      <w:pPr>
        <w:ind w:left="0" w:firstLine="5040"/>
      </w:pPr>
      <w:rPr>
        <w:rFonts w:ascii="Times New Roman" w:hAnsi="Times New Roman"/>
      </w:rPr>
    </w:lvl>
    <w:lvl w:ilvl="8">
      <w:start w:val="1"/>
      <w:numFmt w:val="lowerRoman"/>
      <w:pStyle w:val="Heading9"/>
      <w:suff w:val="nothing"/>
      <w:lvlText w:val="(%9)"/>
      <w:lvlJc w:val="left"/>
      <w:pPr>
        <w:ind w:left="0" w:firstLine="5760"/>
      </w:pPr>
      <w:rPr>
        <w:rFonts w:ascii="Times New Roman" w:hAnsi="Times New Roman"/>
      </w:r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4"/>
  </w:num>
  <w:num w:numId="11">
    <w:abstractNumId w:val="4"/>
  </w:num>
  <w:num w:numId="12">
    <w:abstractNumId w:val="3"/>
  </w:num>
  <w:num w:numId="13">
    <w:abstractNumId w:val="3"/>
  </w:num>
  <w:num w:numId="14">
    <w:abstractNumId w:val="2"/>
  </w:num>
  <w:num w:numId="15">
    <w:abstractNumId w:val="2"/>
  </w:num>
  <w:num w:numId="16">
    <w:abstractNumId w:val="1"/>
  </w:num>
  <w:num w:numId="17">
    <w:abstractNumId w:val="1"/>
  </w:num>
  <w:num w:numId="18">
    <w:abstractNumId w:val="0"/>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3074"/>
  </w:hdrShapeDefaults>
  <w:footnotePr>
    <w:footnote w:id="-1"/>
    <w:footnote w:id="0"/>
  </w:footnotePr>
  <w:endnotePr>
    <w:endnote w:id="-1"/>
    <w:endnote w:id="0"/>
  </w:endnotePr>
  <w:compat/>
  <w:docVars>
    <w:docVar w:name="85TrailerAlignment" w:val="~}žÍ`"/>
    <w:docVar w:name="85TrailerDate" w:val="~}˜Íf"/>
    <w:docVar w:name="85TrailerDateField" w:val="~}™Íe"/>
    <w:docVar w:name="85TrailerDraft" w:val="~}Ía"/>
    <w:docVar w:name="85TrailerLeading" w:val="~}¢Í"/>
    <w:docVar w:name="85TrailerLibrary" w:val="~}—Íh"/>
    <w:docVar w:name="85TrailerTime" w:val="~} Í^"/>
    <w:docVar w:name="85TrailerTrailing" w:val="~}œÍ"/>
    <w:docVar w:name="85TrailerType" w:val="~}ŸÍ``a"/>
    <w:docVar w:name="85TrailerVerNum" w:val="~}œÍc"/>
    <w:docVar w:name="MPDocID" w:val="~}¢Í]bdga_ef]^Zotzr"/>
    <w:docVar w:name="MPDocIDTemplate" w:val="~}™ÍZ¤³fY«²e] "/>
    <w:docVar w:name="MPDocIDTemplateDefault" w:val="~}¡ÍR"/>
    <w:docVar w:name="NewDocStampType" w:val="~}Íb"/>
    <w:docVar w:name="zzmpFixed_MacPacVersion" w:val="9.0"/>
    <w:docVar w:name="zzmpFixed_Variable" w:val="~}¤Í[]_a"/>
  </w:docVars>
  <w:rsids>
    <w:rsidRoot w:val="00F35190"/>
    <w:rsid w:val="00064AFD"/>
    <w:rsid w:val="00082387"/>
    <w:rsid w:val="002B44E7"/>
    <w:rsid w:val="002E7921"/>
    <w:rsid w:val="00393802"/>
    <w:rsid w:val="004C7645"/>
    <w:rsid w:val="00573B45"/>
    <w:rsid w:val="006E285B"/>
    <w:rsid w:val="007A056A"/>
    <w:rsid w:val="00BB5D09"/>
    <w:rsid w:val="00CD3370"/>
    <w:rsid w:val="00E63871"/>
    <w:rsid w:val="00ED6705"/>
    <w:rsid w:val="00F351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numPr>
        <w:numId w:val="1"/>
      </w:numPr>
      <w:tabs>
        <w:tab w:val="num" w:pos="720"/>
      </w:tabs>
      <w:spacing w:after="240"/>
      <w:outlineLvl w:val="0"/>
    </w:pPr>
  </w:style>
  <w:style w:type="paragraph" w:styleId="Heading2">
    <w:name w:val="heading 2"/>
    <w:basedOn w:val="Normal"/>
    <w:next w:val="Normal"/>
    <w:qFormat/>
    <w:pPr>
      <w:numPr>
        <w:ilvl w:val="1"/>
        <w:numId w:val="1"/>
      </w:numPr>
      <w:tabs>
        <w:tab w:val="num" w:pos="1440"/>
      </w:tabs>
      <w:spacing w:after="240"/>
      <w:ind w:left="1440" w:hanging="720"/>
      <w:outlineLvl w:val="1"/>
    </w:pPr>
  </w:style>
  <w:style w:type="paragraph" w:styleId="Heading3">
    <w:name w:val="heading 3"/>
    <w:basedOn w:val="Normal"/>
    <w:next w:val="Normal"/>
    <w:qFormat/>
    <w:pPr>
      <w:numPr>
        <w:ilvl w:val="2"/>
        <w:numId w:val="1"/>
      </w:numPr>
      <w:tabs>
        <w:tab w:val="num" w:pos="2160"/>
      </w:tabs>
      <w:spacing w:after="240"/>
      <w:ind w:left="2160" w:hanging="720"/>
      <w:outlineLvl w:val="2"/>
    </w:pPr>
  </w:style>
  <w:style w:type="paragraph" w:styleId="Heading4">
    <w:name w:val="heading 4"/>
    <w:basedOn w:val="Normal"/>
    <w:next w:val="Normal"/>
    <w:qFormat/>
    <w:pPr>
      <w:numPr>
        <w:ilvl w:val="3"/>
        <w:numId w:val="1"/>
      </w:numPr>
      <w:tabs>
        <w:tab w:val="num" w:pos="3600"/>
      </w:tabs>
      <w:spacing w:after="240"/>
      <w:ind w:left="3600" w:hanging="720"/>
      <w:outlineLvl w:val="3"/>
    </w:pPr>
  </w:style>
  <w:style w:type="paragraph" w:styleId="Heading5">
    <w:name w:val="heading 5"/>
    <w:basedOn w:val="Normal"/>
    <w:next w:val="Normal"/>
    <w:qFormat/>
    <w:pPr>
      <w:numPr>
        <w:ilvl w:val="4"/>
        <w:numId w:val="1"/>
      </w:numPr>
      <w:tabs>
        <w:tab w:val="num" w:pos="4320"/>
      </w:tabs>
      <w:spacing w:after="240"/>
      <w:ind w:left="4320" w:hanging="720"/>
      <w:outlineLvl w:val="4"/>
    </w:pPr>
  </w:style>
  <w:style w:type="paragraph" w:styleId="Heading6">
    <w:name w:val="heading 6"/>
    <w:basedOn w:val="Normal"/>
    <w:next w:val="Normal"/>
    <w:qFormat/>
    <w:pPr>
      <w:numPr>
        <w:ilvl w:val="5"/>
        <w:numId w:val="1"/>
      </w:numPr>
      <w:tabs>
        <w:tab w:val="num" w:pos="4320"/>
      </w:tabs>
      <w:spacing w:after="240"/>
      <w:ind w:left="4320" w:hanging="720"/>
      <w:outlineLvl w:val="5"/>
    </w:pPr>
  </w:style>
  <w:style w:type="paragraph" w:styleId="Heading7">
    <w:name w:val="heading 7"/>
    <w:basedOn w:val="Normal"/>
    <w:next w:val="Normal"/>
    <w:qFormat/>
    <w:pPr>
      <w:numPr>
        <w:ilvl w:val="6"/>
        <w:numId w:val="1"/>
      </w:numPr>
      <w:tabs>
        <w:tab w:val="num" w:pos="5760"/>
      </w:tabs>
      <w:spacing w:after="240"/>
      <w:ind w:left="5760" w:hanging="720"/>
      <w:outlineLvl w:val="6"/>
    </w:pPr>
  </w:style>
  <w:style w:type="paragraph" w:styleId="Heading8">
    <w:name w:val="heading 8"/>
    <w:basedOn w:val="Normal"/>
    <w:next w:val="Normal"/>
    <w:qFormat/>
    <w:pPr>
      <w:numPr>
        <w:ilvl w:val="7"/>
        <w:numId w:val="1"/>
      </w:numPr>
      <w:tabs>
        <w:tab w:val="num" w:pos="7200"/>
      </w:tabs>
      <w:spacing w:after="240"/>
      <w:ind w:left="7200" w:hanging="720"/>
      <w:outlineLvl w:val="7"/>
    </w:pPr>
  </w:style>
  <w:style w:type="paragraph" w:styleId="Heading9">
    <w:name w:val="heading 9"/>
    <w:basedOn w:val="Normal"/>
    <w:next w:val="Normal"/>
    <w:qFormat/>
    <w:pPr>
      <w:numPr>
        <w:ilvl w:val="8"/>
        <w:numId w:val="1"/>
      </w:numPr>
      <w:tabs>
        <w:tab w:val="num" w:pos="7920"/>
      </w:tabs>
      <w:spacing w:after="240"/>
      <w:ind w:left="7776" w:hanging="576"/>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nswer">
    <w:name w:val="Answer"/>
    <w:basedOn w:val="Normal"/>
    <w:pPr>
      <w:spacing w:line="480" w:lineRule="auto"/>
      <w:ind w:firstLine="720"/>
    </w:pPr>
    <w:rPr>
      <w:rFonts w:ascii="Courier New" w:hAnsi="Courier New"/>
    </w:rPr>
  </w:style>
  <w:style w:type="paragraph" w:styleId="BlockText">
    <w:name w:val="Block Text"/>
    <w:basedOn w:val="Normal"/>
    <w:pPr>
      <w:spacing w:after="240"/>
      <w:ind w:left="1440" w:right="1440"/>
    </w:pPr>
  </w:style>
  <w:style w:type="paragraph" w:styleId="BodyText">
    <w:name w:val="Body Text"/>
    <w:basedOn w:val="Normal"/>
    <w:pPr>
      <w:spacing w:after="240"/>
      <w:ind w:firstLine="720"/>
      <w:jc w:val="both"/>
    </w:pPr>
  </w:style>
  <w:style w:type="paragraph" w:styleId="BodyText2">
    <w:name w:val="Body Text 2"/>
    <w:basedOn w:val="Normal"/>
    <w:pPr>
      <w:spacing w:line="480" w:lineRule="auto"/>
      <w:ind w:firstLine="1440"/>
    </w:pPr>
  </w:style>
  <w:style w:type="paragraph" w:styleId="BodyText3">
    <w:name w:val="Body Text 3"/>
    <w:basedOn w:val="Normal"/>
    <w:pPr>
      <w:spacing w:after="240"/>
      <w:ind w:firstLine="720"/>
    </w:pPr>
  </w:style>
  <w:style w:type="paragraph" w:customStyle="1" w:styleId="BodyText4">
    <w:name w:val="Body Text 4"/>
    <w:basedOn w:val="Normal"/>
    <w:pPr>
      <w:spacing w:after="240"/>
      <w:ind w:left="1440" w:firstLine="1440"/>
    </w:pPr>
  </w:style>
  <w:style w:type="paragraph" w:customStyle="1" w:styleId="BodyTextContinued">
    <w:name w:val="Body Text Continued"/>
    <w:basedOn w:val="BodyText"/>
    <w:next w:val="BodyText"/>
    <w:pPr>
      <w:ind w:firstLine="0"/>
    </w:pPr>
  </w:style>
  <w:style w:type="paragraph" w:customStyle="1" w:styleId="BodyTextEnglishUK">
    <w:name w:val="Body Text English UK"/>
    <w:basedOn w:val="Normal"/>
    <w:pPr>
      <w:spacing w:after="240"/>
      <w:ind w:firstLine="1440"/>
    </w:pPr>
    <w:rPr>
      <w:lang w:val="en-GB"/>
    </w:rPr>
  </w:style>
  <w:style w:type="paragraph" w:customStyle="1" w:styleId="BodyTextEnglishUS">
    <w:name w:val="Body Text English US"/>
    <w:basedOn w:val="Normal"/>
    <w:pPr>
      <w:spacing w:after="240"/>
      <w:ind w:firstLine="1440"/>
    </w:pPr>
  </w:style>
  <w:style w:type="paragraph" w:styleId="BodyTextFirstIndent">
    <w:name w:val="Body Text First Indent"/>
    <w:basedOn w:val="BodyText"/>
  </w:style>
  <w:style w:type="paragraph" w:styleId="BodyTextIndent">
    <w:name w:val="Body Text Indent"/>
    <w:basedOn w:val="Normal"/>
    <w:pPr>
      <w:spacing w:after="240"/>
      <w:ind w:left="720"/>
    </w:pPr>
  </w:style>
  <w:style w:type="paragraph" w:styleId="BodyTextFirstIndent2">
    <w:name w:val="Body Text First Indent 2"/>
    <w:basedOn w:val="BodyTextIndent"/>
    <w:pPr>
      <w:ind w:firstLine="720"/>
    </w:pPr>
  </w:style>
  <w:style w:type="paragraph" w:customStyle="1" w:styleId="BodyTextFrenchStd">
    <w:name w:val="Body Text French Std"/>
    <w:basedOn w:val="Normal"/>
    <w:pPr>
      <w:spacing w:after="240"/>
      <w:ind w:firstLine="1440"/>
    </w:pPr>
    <w:rPr>
      <w:lang w:val="fr-FR"/>
    </w:rPr>
  </w:style>
  <w:style w:type="paragraph" w:customStyle="1" w:styleId="BodyTextGermanStd">
    <w:name w:val="Body Text German Std"/>
    <w:basedOn w:val="Normal"/>
    <w:pPr>
      <w:spacing w:after="240"/>
      <w:ind w:firstLine="1440"/>
    </w:pPr>
    <w:rPr>
      <w:lang w:val="de-DE"/>
    </w:rPr>
  </w:style>
  <w:style w:type="paragraph" w:styleId="BodyTextIndent2">
    <w:name w:val="Body Text Indent 2"/>
    <w:basedOn w:val="Normal"/>
    <w:pPr>
      <w:spacing w:after="240" w:line="480" w:lineRule="auto"/>
      <w:ind w:left="720"/>
    </w:pPr>
  </w:style>
  <w:style w:type="paragraph" w:styleId="BodyTextIndent3">
    <w:name w:val="Body Text Indent 3"/>
    <w:basedOn w:val="Normal"/>
    <w:pPr>
      <w:spacing w:after="240"/>
      <w:ind w:left="720"/>
      <w:jc w:val="both"/>
    </w:pPr>
    <w:rPr>
      <w:szCs w:val="16"/>
    </w:r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character" w:styleId="Emphasis">
    <w:name w:val="Emphasis"/>
    <w:basedOn w:val="DefaultParagraphFont"/>
    <w:qFormat/>
    <w:rPr>
      <w:i/>
    </w:rPr>
  </w:style>
  <w:style w:type="character" w:styleId="EndnoteReference">
    <w:name w:val="endnote reference"/>
    <w:basedOn w:val="DefaultParagraphFont"/>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character" w:styleId="FollowedHyperlink">
    <w:name w:val="FollowedHyperlink"/>
    <w:basedOn w:val="DefaultParagraphFont"/>
    <w:rPr>
      <w:color w:val="800080"/>
      <w:u w:val="single"/>
    </w:rPr>
  </w:style>
  <w:style w:type="paragraph" w:styleId="Footer">
    <w:name w:val="footer"/>
    <w:basedOn w:val="Normal"/>
    <w:pPr>
      <w:tabs>
        <w:tab w:val="center" w:pos="4680"/>
        <w:tab w:val="right" w:pos="9360"/>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spacing w:after="240"/>
      <w:ind w:left="720" w:hanging="720"/>
    </w:pPr>
  </w:style>
  <w:style w:type="paragraph" w:styleId="Header">
    <w:name w:val="header"/>
    <w:basedOn w:val="Normal"/>
    <w:link w:val="HeaderChar"/>
    <w:uiPriority w:val="99"/>
    <w:pPr>
      <w:tabs>
        <w:tab w:val="center" w:pos="4680"/>
        <w:tab w:val="right" w:pos="9360"/>
      </w:tabs>
    </w:pPr>
  </w:style>
  <w:style w:type="paragraph" w:customStyle="1" w:styleId="Herring">
    <w:name w:val="Herring"/>
    <w:basedOn w:val="Normal"/>
    <w:next w:val="Normal"/>
    <w:rPr>
      <w:color w:val="FF0000"/>
      <w:sz w:val="17"/>
    </w:rPr>
  </w:style>
  <w:style w:type="character" w:styleId="Hyperlink">
    <w:name w:val="Hyperlink"/>
    <w:basedOn w:val="DefaultParagraphFont"/>
    <w:rPr>
      <w:color w:val="auto"/>
      <w:u w:val="none"/>
    </w:rPr>
  </w:style>
  <w:style w:type="character" w:customStyle="1" w:styleId="ID">
    <w:name w:val="ID"/>
    <w:basedOn w:val="DefaultParagraphFont"/>
    <w:rPr>
      <w:rFonts w:ascii="Arial" w:hAnsi="Arial"/>
      <w:caps/>
      <w:sz w:val="16"/>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customStyle="1" w:styleId="ItalicText">
    <w:name w:val="Italic Text"/>
    <w:basedOn w:val="Normal"/>
    <w:next w:val="Normal"/>
    <w:rPr>
      <w:i/>
      <w:caps/>
      <w:sz w:val="20"/>
    </w:rPr>
  </w:style>
  <w:style w:type="character" w:styleId="LineNumber">
    <w:name w:val="line number"/>
    <w:basedOn w:val="DefaultParagraphFont"/>
  </w:style>
  <w:style w:type="paragraph" w:styleId="ListBullet">
    <w:name w:val="List Bullet"/>
    <w:basedOn w:val="Normal"/>
    <w:pPr>
      <w:numPr>
        <w:numId w:val="10"/>
      </w:numPr>
      <w:ind w:left="0" w:firstLine="0"/>
    </w:pPr>
  </w:style>
  <w:style w:type="paragraph" w:styleId="ListBullet2">
    <w:name w:val="List Bullet 2"/>
    <w:basedOn w:val="Normal"/>
    <w:pPr>
      <w:numPr>
        <w:numId w:val="13"/>
      </w:numPr>
    </w:pPr>
  </w:style>
  <w:style w:type="paragraph" w:styleId="ListBullet3">
    <w:name w:val="List Bullet 3"/>
    <w:basedOn w:val="Normal"/>
    <w:pPr>
      <w:numPr>
        <w:numId w:val="15"/>
      </w:numPr>
    </w:pPr>
  </w:style>
  <w:style w:type="paragraph" w:styleId="ListBullet4">
    <w:name w:val="List Bullet 4"/>
    <w:basedOn w:val="Normal"/>
    <w:pPr>
      <w:numPr>
        <w:numId w:val="17"/>
      </w:numPr>
    </w:pPr>
  </w:style>
  <w:style w:type="paragraph" w:styleId="ListBullet5">
    <w:name w:val="List Bullet 5"/>
    <w:basedOn w:val="Normal"/>
    <w:pPr>
      <w:numPr>
        <w:numId w:val="19"/>
      </w:numPr>
    </w:pPr>
  </w:style>
  <w:style w:type="paragraph" w:styleId="ListContinue">
    <w:name w:val="List Continue"/>
    <w:basedOn w:val="Normal"/>
    <w:pPr>
      <w:spacing w:after="240"/>
      <w:ind w:left="360"/>
    </w:pPr>
  </w:style>
  <w:style w:type="paragraph" w:styleId="ListContinue2">
    <w:name w:val="List Continue 2"/>
    <w:basedOn w:val="Normal"/>
    <w:pPr>
      <w:spacing w:after="240"/>
      <w:ind w:left="720"/>
    </w:pPr>
  </w:style>
  <w:style w:type="paragraph" w:styleId="ListContinue3">
    <w:name w:val="List Continue 3"/>
    <w:basedOn w:val="Normal"/>
    <w:pPr>
      <w:spacing w:after="240"/>
      <w:ind w:left="1080"/>
    </w:pPr>
  </w:style>
  <w:style w:type="paragraph" w:styleId="ListContinue4">
    <w:name w:val="List Continue 4"/>
    <w:basedOn w:val="Normal"/>
    <w:pPr>
      <w:spacing w:after="240"/>
      <w:ind w:left="1440"/>
    </w:pPr>
  </w:style>
  <w:style w:type="paragraph" w:styleId="ListContinue5">
    <w:name w:val="List Continue 5"/>
    <w:basedOn w:val="Normal"/>
    <w:pPr>
      <w:spacing w:after="240"/>
      <w:ind w:left="180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customStyle="1" w:styleId="Note">
    <w:name w:val="Note"/>
    <w:basedOn w:val="Normal"/>
    <w:next w:val="Normal"/>
    <w:pPr>
      <w:pBdr>
        <w:top w:val="double" w:sz="4" w:space="6" w:color="FF0000"/>
        <w:left w:val="double" w:sz="4" w:space="4" w:color="FF0000"/>
        <w:bottom w:val="double" w:sz="4" w:space="6" w:color="FF0000"/>
        <w:right w:val="double" w:sz="4" w:space="4" w:color="FF0000"/>
      </w:pBdr>
    </w:pPr>
    <w:rPr>
      <w:vanish/>
      <w:color w:val="FF0000"/>
    </w:r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sz w:val="20"/>
    </w:rPr>
  </w:style>
  <w:style w:type="paragraph" w:styleId="Quote">
    <w:name w:val="Quote"/>
    <w:basedOn w:val="Normal"/>
    <w:next w:val="BodyTextContinued"/>
    <w:qFormat/>
    <w:pPr>
      <w:spacing w:after="240"/>
      <w:ind w:left="1440" w:right="1440"/>
    </w:pPr>
  </w:style>
  <w:style w:type="paragraph" w:customStyle="1" w:styleId="SECFootnote">
    <w:name w:val="SEC Footnote"/>
    <w:basedOn w:val="Normal"/>
    <w:pPr>
      <w:tabs>
        <w:tab w:val="left" w:pos="360"/>
      </w:tabs>
      <w:spacing w:after="120"/>
      <w:ind w:left="360" w:hanging="360"/>
    </w:pPr>
    <w:rPr>
      <w:sz w:val="20"/>
    </w:rPr>
  </w:style>
  <w:style w:type="paragraph" w:customStyle="1" w:styleId="SECHeadingRow">
    <w:name w:val="SEC Heading Row"/>
    <w:basedOn w:val="Normal"/>
    <w:pPr>
      <w:jc w:val="center"/>
    </w:pPr>
    <w:rPr>
      <w:b/>
      <w:sz w:val="18"/>
    </w:rPr>
  </w:style>
  <w:style w:type="paragraph" w:customStyle="1" w:styleId="SECIndex">
    <w:name w:val="SEC Index"/>
    <w:basedOn w:val="Normal"/>
    <w:next w:val="Normal"/>
    <w:pPr>
      <w:tabs>
        <w:tab w:val="left" w:leader="dot" w:pos="9360"/>
      </w:tabs>
      <w:ind w:left="720" w:hanging="720"/>
    </w:pPr>
    <w:rPr>
      <w:sz w:val="22"/>
    </w:rPr>
  </w:style>
  <w:style w:type="paragraph" w:customStyle="1" w:styleId="SECItalicHeading">
    <w:name w:val="SEC Italic Heading"/>
    <w:basedOn w:val="Normal"/>
    <w:next w:val="Normal"/>
    <w:pPr>
      <w:spacing w:after="120" w:line="200" w:lineRule="exact"/>
      <w:ind w:firstLine="360"/>
    </w:pPr>
    <w:rPr>
      <w:b/>
      <w:i/>
      <w:sz w:val="22"/>
    </w:rPr>
  </w:style>
  <w:style w:type="paragraph" w:customStyle="1" w:styleId="SECItalicText">
    <w:name w:val="SEC Italic Text"/>
    <w:basedOn w:val="Normal"/>
    <w:next w:val="Normal"/>
    <w:rPr>
      <w:i/>
      <w:caps/>
      <w:sz w:val="20"/>
    </w:rPr>
  </w:style>
  <w:style w:type="paragraph" w:customStyle="1" w:styleId="SECLeftHeading">
    <w:name w:val="SEC Left Heading"/>
    <w:basedOn w:val="Normal"/>
    <w:next w:val="Normal"/>
    <w:pPr>
      <w:spacing w:after="120"/>
    </w:pPr>
    <w:rPr>
      <w:b/>
      <w:sz w:val="20"/>
    </w:rPr>
  </w:style>
  <w:style w:type="paragraph" w:customStyle="1" w:styleId="SECManualFootnote">
    <w:name w:val="SEC Manual Footnote"/>
    <w:basedOn w:val="Normal"/>
    <w:pPr>
      <w:tabs>
        <w:tab w:val="left" w:pos="360"/>
      </w:tabs>
      <w:spacing w:after="120"/>
      <w:ind w:left="360" w:hanging="360"/>
    </w:pPr>
    <w:rPr>
      <w:sz w:val="20"/>
    </w:rPr>
  </w:style>
  <w:style w:type="paragraph" w:customStyle="1" w:styleId="SECText">
    <w:name w:val="SEC Text"/>
    <w:basedOn w:val="Normal"/>
    <w:next w:val="Normal"/>
    <w:pPr>
      <w:spacing w:after="240"/>
    </w:pPr>
    <w:rPr>
      <w:sz w:val="20"/>
    </w:rPr>
  </w:style>
  <w:style w:type="paragraph" w:customStyle="1" w:styleId="SECTitle">
    <w:name w:val="SEC Title"/>
    <w:basedOn w:val="Normal"/>
    <w:next w:val="Normal"/>
    <w:pPr>
      <w:spacing w:after="120"/>
      <w:jc w:val="center"/>
    </w:pPr>
    <w:rPr>
      <w:b/>
      <w:caps/>
      <w:sz w:val="20"/>
    </w:rPr>
  </w:style>
  <w:style w:type="paragraph" w:styleId="Signature">
    <w:name w:val="Signature"/>
    <w:basedOn w:val="Normal"/>
    <w:pPr>
      <w:ind w:left="4320"/>
    </w:pPr>
  </w:style>
  <w:style w:type="character" w:styleId="Strong">
    <w:name w:val="Strong"/>
    <w:basedOn w:val="DefaultParagraphFont"/>
    <w:qFormat/>
    <w:rPr>
      <w:b/>
    </w:rPr>
  </w:style>
  <w:style w:type="paragraph" w:styleId="Subtitle">
    <w:name w:val="Subtitle"/>
    <w:basedOn w:val="Normal"/>
    <w:qFormat/>
    <w:pPr>
      <w:spacing w:after="240"/>
    </w:pPr>
    <w:rPr>
      <w:b/>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customStyle="1" w:styleId="Text">
    <w:name w:val="Text"/>
    <w:basedOn w:val="Normal"/>
    <w:next w:val="Normal"/>
    <w:pPr>
      <w:spacing w:after="240"/>
    </w:pPr>
  </w:style>
  <w:style w:type="paragraph" w:styleId="Title">
    <w:name w:val="Title"/>
    <w:basedOn w:val="Normal"/>
    <w:qFormat/>
    <w:pPr>
      <w:spacing w:after="240"/>
      <w:jc w:val="center"/>
    </w:pPr>
    <w:rPr>
      <w:b/>
      <w:caps/>
      <w:kern w:val="28"/>
      <w:u w:val="single"/>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HeaderChar">
    <w:name w:val="Header Char"/>
    <w:basedOn w:val="DefaultParagraphFont"/>
    <w:link w:val="Header"/>
    <w:uiPriority w:val="99"/>
    <w:rsid w:val="00CD3370"/>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chert.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D88AE-4215-4274-975E-EEA86D550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1012</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REPRESENTING STRATEGIC INVESTORS</vt:lpstr>
    </vt:vector>
  </TitlesOfParts>
  <Company>Dechert LLP</Company>
  <LinksUpToDate>false</LinksUpToDate>
  <CharactersWithSpaces>6770</CharactersWithSpaces>
  <SharedDoc>false</SharedDoc>
  <HLinks>
    <vt:vector size="12" baseType="variant">
      <vt:variant>
        <vt:i4>3342446</vt:i4>
      </vt:variant>
      <vt:variant>
        <vt:i4>0</vt:i4>
      </vt:variant>
      <vt:variant>
        <vt:i4>0</vt:i4>
      </vt:variant>
      <vt:variant>
        <vt:i4>5</vt:i4>
      </vt:variant>
      <vt:variant>
        <vt:lpwstr>http://www.dechert.com/</vt:lpwstr>
      </vt:variant>
      <vt:variant>
        <vt:lpwstr/>
      </vt:variant>
      <vt:variant>
        <vt:i4>3342446</vt:i4>
      </vt:variant>
      <vt:variant>
        <vt:i4>2280</vt:i4>
      </vt:variant>
      <vt:variant>
        <vt:i4>1025</vt:i4>
      </vt:variant>
      <vt:variant>
        <vt:i4>4</vt:i4>
      </vt:variant>
      <vt:variant>
        <vt:lpwstr>http://www.dechert.com/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REPRESENTING STRATEGIC INVESTORS</dc:title>
  <dc:subject/>
  <dc:creator> </dc:creator>
  <cp:keywords/>
  <dc:description/>
  <cp:lastModifiedBy>Fernand Goldblat</cp:lastModifiedBy>
  <cp:revision>2</cp:revision>
  <dcterms:created xsi:type="dcterms:W3CDTF">2012-10-18T06:55:00Z</dcterms:created>
  <dcterms:modified xsi:type="dcterms:W3CDTF">2012-10-18T06:55:00Z</dcterms:modified>
</cp:coreProperties>
</file>